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spacing w:after="0" w:line="240" w:lineRule="auto"/>
        <w:ind w:left="360"/>
        <w:jc w:val="center"/>
        <w:textAlignment w:val="baseline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ind w:left="4253"/>
        <w:jc w:val="both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highlight w:val="none"/>
          <w:lang w:eastAsia="pt-BR"/>
        </w:rPr>
        <w:t>TERMO DE COOPERAÇÃO DE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ESTÁGIO QUE CELEBRAM ENTRE SI A UNIVERSIDADE ESTADUAL DO PARANÁ - UNESPAR E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(NOME DA PESSOA FÍSICA)</w:t>
      </w:r>
    </w:p>
    <w:p>
      <w:pPr>
        <w:shd w:val="clear" w:color="auto" w:fill="FFFFFF" w:themeFill="background1"/>
        <w:spacing w:after="24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Cs/>
          <w:sz w:val="22"/>
          <w:szCs w:val="22"/>
          <w:lang w:eastAsia="pt-BR"/>
        </w:rPr>
        <w:t xml:space="preserve">A </w:t>
      </w:r>
      <w:r>
        <w:rPr>
          <w:rFonts w:hint="default" w:ascii="Arial" w:hAnsi="Arial" w:eastAsia="Times New Roman" w:cs="Arial"/>
          <w:b/>
          <w:sz w:val="22"/>
          <w:szCs w:val="22"/>
          <w:lang w:eastAsia="pt-BR"/>
        </w:rPr>
        <w:t>UNIVERSIDADE ESTADUAL DO PARANÁ,</w:t>
      </w:r>
      <w:r>
        <w:rPr>
          <w:rFonts w:hint="default" w:ascii="Arial" w:hAnsi="Arial" w:eastAsia="Times New Roman" w:cs="Arial"/>
          <w:bCs/>
          <w:sz w:val="22"/>
          <w:szCs w:val="22"/>
          <w:lang w:eastAsia="pt-BR"/>
        </w:rPr>
        <w:t xml:space="preserve"> doravante denominada UNESPAR, pessoa jurídica de direito público, inscrita no CNPJ nº. 05.012.896/0001-42 (Matriz/Reitoria), com sede à </w:t>
      </w:r>
      <w:r>
        <w:rPr>
          <w:rFonts w:hint="default" w:ascii="Arial" w:hAnsi="Arial" w:eastAsia="Times New Roman" w:cs="Arial"/>
          <w:bCs/>
          <w:sz w:val="22"/>
          <w:szCs w:val="22"/>
          <w:lang w:val="en-US" w:eastAsia="pt-BR"/>
        </w:rPr>
        <w:t>Avenida Rio Grande do Norte, 1525</w:t>
      </w:r>
      <w:r>
        <w:rPr>
          <w:rFonts w:hint="default" w:ascii="Arial" w:hAnsi="Arial" w:eastAsia="Times New Roman" w:cs="Arial"/>
          <w:bCs/>
          <w:sz w:val="22"/>
          <w:szCs w:val="22"/>
          <w:lang w:eastAsia="pt-BR"/>
        </w:rPr>
        <w:t xml:space="preserve"> - Centro - Paranavaí - CEP 87701-0</w:t>
      </w:r>
      <w:r>
        <w:rPr>
          <w:rFonts w:hint="default" w:ascii="Arial" w:hAnsi="Arial" w:eastAsia="Times New Roman" w:cs="Arial"/>
          <w:bCs/>
          <w:sz w:val="22"/>
          <w:szCs w:val="22"/>
          <w:lang w:val="en-US" w:eastAsia="pt-BR"/>
        </w:rPr>
        <w:t>2</w:t>
      </w:r>
      <w:r>
        <w:rPr>
          <w:rFonts w:hint="default" w:ascii="Arial" w:hAnsi="Arial" w:eastAsia="Times New Roman" w:cs="Arial"/>
          <w:bCs/>
          <w:sz w:val="22"/>
          <w:szCs w:val="22"/>
          <w:lang w:eastAsia="pt-BR"/>
        </w:rPr>
        <w:t xml:space="preserve">0, representada pelo Magnífico Reitor, </w:t>
      </w:r>
      <w:r>
        <w:rPr>
          <w:rFonts w:hint="default" w:ascii="Arial" w:hAnsi="Arial" w:eastAsia="Times New Roman" w:cs="Arial"/>
          <w:b/>
          <w:sz w:val="22"/>
          <w:szCs w:val="22"/>
          <w:lang w:eastAsia="pt-BR"/>
        </w:rPr>
        <w:t>Antônio Carlos Aleixo</w:t>
      </w:r>
      <w:r>
        <w:rPr>
          <w:rFonts w:hint="default" w:ascii="Arial" w:hAnsi="Arial" w:eastAsia="Times New Roman" w:cs="Arial"/>
          <w:bCs/>
          <w:sz w:val="22"/>
          <w:szCs w:val="22"/>
          <w:lang w:eastAsia="pt-BR"/>
        </w:rPr>
        <w:t xml:space="preserve">, nomeado nos termos do Decreto n.º 6.896/2012, portador do RG nº. 3.613.989-7/SSP-PR, inscrito no CPF sob nº.  544.114.919-15, entidade autárquica </w:t>
      </w:r>
      <w:r>
        <w:rPr>
          <w:rFonts w:hint="default" w:ascii="Arial" w:hAnsi="Arial" w:eastAsia="Times New Roman" w:cs="Arial"/>
          <w:bCs/>
          <w:i/>
          <w:iCs/>
          <w:sz w:val="22"/>
          <w:szCs w:val="22"/>
          <w:lang w:eastAsia="pt-BR"/>
        </w:rPr>
        <w:t xml:space="preserve">multicampi, e 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por delegação do Senhor Reitor, a execução do presente convênio será acompanhada pela Pró-Reitoria de Ensino de Graduação - PROGRAD, com execução no </w:t>
      </w:r>
      <w:r>
        <w:rPr>
          <w:rFonts w:hint="default" w:ascii="Arial" w:hAnsi="Arial" w:eastAsia="Times New Roman" w:cs="Arial"/>
          <w:i/>
          <w:iCs/>
          <w:sz w:val="22"/>
          <w:szCs w:val="22"/>
          <w:lang w:eastAsia="pt-BR"/>
        </w:rPr>
        <w:t>Campus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_______________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e o(a) Sr(a). </w:t>
      </w:r>
      <w:r>
        <w:rPr>
          <w:rFonts w:hint="default" w:ascii="Arial" w:hAnsi="Arial" w:eastAsia="Times New Roman" w:cs="Arial"/>
          <w:b/>
          <w:color w:val="FF0000"/>
          <w:sz w:val="22"/>
          <w:szCs w:val="22"/>
          <w:lang w:eastAsia="pt-BR"/>
        </w:rPr>
        <w:t>XXXX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>,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pessoa física, inscrita(o) no Conselho Profissional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 xml:space="preserve"> (quando houver)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sob o número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portador(a) da cédula de identidade n°.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SSP/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>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inscrito(a) no CPF sob o n°.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residente à Rua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(NOME DA RUA)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nº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Bairro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(NOME DO BAIRRO)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CEP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XX.XXX-XXX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na cidade de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(NOME DA CIDADE)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doravante denominada(o) CONCEDENTE, resolvem celebrar o presente Termo de Convênio para concessão de estágio, com base na Lei Nº. 11.788, de 25 de setembro de 2008, bem como na Resolução nº. 046/2018 - CEPE/UNESPAR, mediante as cláusulas e condições seguintes:</w:t>
      </w: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PRIMEIRA - DO OBJETO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>A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presente co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>operação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tem por objetivo regular as relações entre as partes ora conveniadas no que tange à concessão de estágio curricular para estudantes regularmente matriculados e que venham frequentando efetivamente cursos oferecidos pela UNESPAR, nos termos da Lei nº 11.788, de 25 de setembro de 2008.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CLÁUSULA SEGUNDA - DAS OBRIGAÇÕES 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color w:val="000000"/>
          <w:sz w:val="22"/>
          <w:szCs w:val="22"/>
          <w:lang w:val="pt-PT"/>
        </w:rPr>
      </w:pPr>
      <w:r>
        <w:rPr>
          <w:rFonts w:hint="default" w:ascii="Arial" w:hAnsi="Arial" w:cs="Arial"/>
          <w:color w:val="000000"/>
          <w:sz w:val="22"/>
          <w:szCs w:val="22"/>
          <w:lang w:val="pt-PT"/>
        </w:rPr>
        <w:t xml:space="preserve">Caberá </w:t>
      </w:r>
      <w:r>
        <w:rPr>
          <w:rFonts w:hint="default" w:ascii="Arial" w:hAnsi="Arial" w:cs="Arial"/>
          <w:color w:val="000000"/>
          <w:sz w:val="22"/>
          <w:szCs w:val="22"/>
        </w:rPr>
        <w:t>à</w:t>
      </w:r>
      <w:r>
        <w:rPr>
          <w:rFonts w:hint="default" w:ascii="Arial" w:hAnsi="Arial" w:cs="Arial"/>
          <w:color w:val="000000"/>
          <w:sz w:val="22"/>
          <w:szCs w:val="22"/>
          <w:lang w:val="pt-PT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2"/>
          <w:szCs w:val="22"/>
        </w:rPr>
        <w:t>UNESPAR</w:t>
      </w:r>
      <w:r>
        <w:rPr>
          <w:rFonts w:hint="default" w:ascii="Arial" w:hAnsi="Arial" w:cs="Arial"/>
          <w:b/>
          <w:color w:val="000000"/>
          <w:sz w:val="22"/>
          <w:szCs w:val="22"/>
        </w:rPr>
        <w:t>: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 – encaminhar os estudantes habilitados para a realização do estágio na concedente;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II – celebrar termo de compromisso com o educando ou com seu representante ou assistente legal, quando ele for absoluta ou relativamente incapaz, e com a parte concedente, indicando as condições de adequação do estágio à proposta pedagógica do curso, à etapa e modalidade da formação escolar do estudante e ao horário e calendário escolar; 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III – avaliar as instalações de estágio da concedente e sua adequação à formação cultural e profissional do estagiário;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IV – indicar professor orientador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 xml:space="preserve"> da área a ser desenvolvida no estágio como responsável pelo acompanhamento e avaliação das atividades do estagiário;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V – zelar pelo cumprimento da Lei nº 11.788/2008 e da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Resolução nº. 046/2018 - CEPE/UNESPAR,  das obrigações contidas no presente Termo e no Termo de Compromisso de Estágio, desligando o estagiário em c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aso de descumprimento de suas normas;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VI – exigir do estagiário a apresentação semestral do Relatório Parcial de Estágio;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VII – comunicar à concedente, no início do período letivo, as datas de realização de avaliações escolares ou acadêmicas (art. 7º da Lei nº 11.788/2008), bem como os casos de conclusão ou abandono de curso, cancelamento ou trancamento da matrícula.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color w:val="000000"/>
          <w:sz w:val="22"/>
          <w:szCs w:val="22"/>
          <w:lang w:val="pt-PT"/>
        </w:rPr>
      </w:pPr>
      <w:r>
        <w:rPr>
          <w:rFonts w:hint="default" w:ascii="Arial" w:hAnsi="Arial" w:cs="Arial"/>
          <w:color w:val="000000"/>
          <w:sz w:val="22"/>
          <w:szCs w:val="22"/>
          <w:lang w:val="pt-PT"/>
        </w:rPr>
        <w:t xml:space="preserve">Caberá </w:t>
      </w:r>
      <w:r>
        <w:rPr>
          <w:rFonts w:hint="default" w:ascii="Arial" w:hAnsi="Arial" w:cs="Arial"/>
          <w:color w:val="000000"/>
          <w:sz w:val="22"/>
          <w:szCs w:val="22"/>
        </w:rPr>
        <w:t>à</w:t>
      </w:r>
      <w:r>
        <w:rPr>
          <w:rFonts w:hint="default" w:ascii="Arial" w:hAnsi="Arial" w:cs="Arial"/>
          <w:color w:val="FF0000"/>
          <w:sz w:val="22"/>
          <w:szCs w:val="22"/>
          <w:lang w:val="pt-PT"/>
        </w:rPr>
        <w:t xml:space="preserve"> </w:t>
      </w:r>
      <w:r>
        <w:rPr>
          <w:rFonts w:hint="default" w:ascii="Arial" w:hAnsi="Arial" w:cs="Arial"/>
          <w:b/>
          <w:bCs/>
          <w:color w:val="FF0000"/>
          <w:sz w:val="22"/>
          <w:szCs w:val="22"/>
        </w:rPr>
        <w:t>(INSERIR O NOME DO(A) CONCEDENTE)</w:t>
      </w:r>
      <w:r>
        <w:rPr>
          <w:rFonts w:hint="default" w:ascii="Arial" w:hAnsi="Arial" w:cs="Arial"/>
          <w:b/>
          <w:color w:val="000000"/>
          <w:sz w:val="22"/>
          <w:szCs w:val="22"/>
        </w:rPr>
        <w:t>: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I 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– assinar o Termo de compromisso com a instituição de ensino e o educando, zelando pelo cumprimento das obrigações nele contidas e daquelas previstas na Lei nº 11.788/2008 e na Resolução nº. 046/2018 - CEPE/UNESPAR;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II – ofertar instalações que tenham condições de proporcionar ao educando atividades de aprendizagem social, profissional e cultural, observando o estabelecido na legislação relacionada à saúde e segurança no trabalho; 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III - realizar a seleção dos estagiários, caso seja necessário;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>IV – indicar funcionário do seu quadro de pessoal, com formação ou experiência profissional na área de conhecimento desenvolvida no curso do estagiário, para acompanhar, orientar e supervisionar as atividades a serem desenvolvidas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 xml:space="preserve"> (quando houver);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V – estabelecer a jornada de atividades do estagiário sem prejuízo das atividades escolares, em conformidade com a legislação vigente e assegurar o desempenho de atividades compatíveis com o seu curso de formação;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VI – encaminhar à Instituição de Ensino o Plano de Atividades de Estágio, constando as atividades a sere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m desenvolvidas pelo estagiário;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VII – manter à disposição da fiscalização documentos que comprovem a relação de estágio;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VIII – entregar, por ocasião do desligamento do estagiário, um relatório com o resumo das atividades desenvolvidas durante o período de estágio;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IX – reduzir a jornada do estagiário a pelo menos metade nos períodos de avaliação escolar ou acadêmica, mediante apresentação de documento idôneo emitido pela Instituição de Ensino, com o fim de garantir o bom desempenho do estudante.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PARÁGRAFO ÚNICO.  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Nenhum valor poderá ser cobrado dos estudantes interessados em cumprir estágio, ou da UNESPAR, pela Concedente pelas ações mencionadas nesta Cláusula ou por quaisquer outras providências eventualmente necessárias à obtenção e realização do estágio.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TERCEIRA – DO VÍNCULO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 estagiário não terá vínculo empregatício de qualquer natureza com a CONCEDENTE e a INSTITUIÇÃO DE ENSINO.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QUARTA- DO SEGURO CONTRA ACIDENTES PESSOAIS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A UNESPAR providenciará seguro contra acidentes pessoais em favor dos estudantes estagiários,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u w:val="single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u w:val="single"/>
          <w:lang w:val="en-US" w:eastAsia="pt-BR"/>
        </w:rPr>
        <w:t xml:space="preserve">somente 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u w:val="single"/>
          <w:lang w:eastAsia="pt-BR"/>
        </w:rPr>
        <w:t>no caso de estágio obrigatório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, no ato de assinatura do Termo de Compromisso de Estágio, na forma da lei, que deverá vigorar durante todo o período de realização do estágio. Quando se tratar de estágios não obrigatórios, a concedente deverá providenciar o seguro contra acidentes pessoais.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PARÁGRAFO ÚNICO.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Somente para os casos de estágio obrigatório, a responsabilidade pela contratação do seguro será assumida pela UNESPAR.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QUINTA - DO TERMO DE COMPROMISSO DE ESTÁGIO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 realização do estágio, na modalidade obrigatório, dependerá de prévia formalização do competente Termo de Compromisso de Estágio entre a CONCEDENTE e o estudante, com interveniência obrigatória da UNESPAR.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  <w:t xml:space="preserve">PARÁGRAFO ÚNICO. 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 termo de compromisso ficará vinculado ao presente convênio e terá por finalidade particularizar a relação jurídica existente entre o estagiário e o órgão concedente, constituindo-se no comprovante legal de que o estágio não gerará vínculo empregatício entre as partes.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SEXTA – DO PLANO DE ATIVIDADE DE ESTÁGIO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 realização do estágio, na modalidade obrigatório, dependerá de prévia elaboração e aprovação do Plano de Atividade de Estágio, designação, na CONCEDENTE, de supervisor de estágio para acompanhar e auxiliar o estudante em suas atividades e designação, na UNESPAR, de professor(a) orientador(a) de estágio, conforme disposto na cláusula segunda, inciso IV deste Termo de Cooperação de estágio.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PARÁGRAFO ÚNICO.  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 Plano de Atividade de Estágio, assinado e rubricado pelo estudante, pela UNESPAR e pela CONCEDENTE, será incorporado ao presente Termo como anexo obrigatório.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SÉTIMA - DA VIGÊNCIA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right="0"/>
        <w:jc w:val="both"/>
        <w:textAlignment w:val="auto"/>
        <w:outlineLvl w:val="9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 presente Termo vigorará por prazo de 2 (dois) anos, a partir da data da sua assinatura, podendo ser prorrogado por igual período, por meio de Termo Aditivo.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right="0"/>
        <w:textAlignment w:val="auto"/>
        <w:outlineLvl w:val="9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right="0"/>
        <w:jc w:val="both"/>
        <w:textAlignment w:val="auto"/>
        <w:outlineLvl w:val="9"/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right="0"/>
        <w:jc w:val="both"/>
        <w:textAlignment w:val="auto"/>
        <w:outlineLvl w:val="9"/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  <w:highlight w:val="none"/>
          <w:lang w:val="pt-BR"/>
        </w:rPr>
      </w:pPr>
      <w:r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</w:rPr>
        <w:t>CL</w:t>
      </w:r>
      <w:r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  <w:highlight w:val="none"/>
        </w:rPr>
        <w:t>ÁUSULA</w:t>
      </w:r>
      <w:r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  <w:highlight w:val="none"/>
          <w:lang w:val="pt-BR"/>
        </w:rPr>
        <w:t xml:space="preserve"> OITAVA - DA EXCLUSIVIDADE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right="0"/>
        <w:jc w:val="both"/>
        <w:textAlignment w:val="auto"/>
        <w:outlineLvl w:val="9"/>
        <w:rPr>
          <w:rFonts w:hint="default"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hint="default" w:ascii="Arial" w:hAnsi="Arial" w:cs="Arial"/>
          <w:b w:val="0"/>
          <w:bCs w:val="0"/>
          <w:color w:val="000000"/>
          <w:sz w:val="22"/>
          <w:szCs w:val="22"/>
        </w:rPr>
        <w:t>Ambas as partes poderão celebrar convênios análogos com outras pessoas jurídicas de direito privado e/ou público, para o mesmo fim, objeto deste instrumento, não havendo, portanto qualquer espécie de exclusividade.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 w:eastAsia="pt-BR"/>
        </w:rPr>
        <w:t xml:space="preserve"> NONA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– DA DENÚNCIA OU RESCISÃO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jc w:val="both"/>
        <w:textAlignment w:val="auto"/>
        <w:outlineLvl w:val="9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Este Termo poderá ser denunciado e/ou rescindido por qualquer dos partícipes, desde que aquele que assim o desejar comunique à outra parte, por escrito, com antecedência mínima de 30 dias. As atividades em andamento não serão prejudicadas, devendo, consequentemente, serem concluídas ainda que ocorra denúncia por um dos partícipes.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Os motivos que poderão levar à rescisão deste Termo são: não cumprimento das cláusulas deste Termo pela parte concedente ou pela instituição de ensino; morte da parte concedente, pessoa física; extinção da parte concedente; e vontade da parte concedente ou da Instituição de Ensino.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CLÁUSULA 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 w:eastAsia="pt-BR"/>
        </w:rPr>
        <w:t>DÉCIMA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– DOS CASOS OMISSOS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As dúvidas e os casos omissos serão solucionados pelos partícipes, nos termos da legislação vigente e pertinente.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DÉCIMA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 w:eastAsia="pt-BR"/>
        </w:rPr>
        <w:t xml:space="preserve"> PRIMEIRA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– DO ÔNUS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Não haverá transferência de recursos financeiros entre os partícipes, que se comprometem a arcar com o ônus que advier das obrigações assumidas neste Convênio.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CLÁUSULA DÉCIMA 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 w:eastAsia="pt-BR"/>
        </w:rPr>
        <w:t>SEGUNDA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– DO FORO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As partes elegem o Foro da Justiça Federal, de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CIDADE DO CAMPUS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>/PR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para dirimir toda e qualquer dúvida na execução e cumprimento do presente instrumento, com renúncia expressa de qualquer outro, por mais privilegiado que seja.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E, por estarem justos e acordados, firmam o presente instrumento em 3 (três) vias de igual teor e forma, que depois de lido e aprovado, vai por todos assinado, na presença de 2 (duas) testemunhas.</w:t>
      </w: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CIDADE,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 xml:space="preserve"> _____ de _________________de 20 ___.</w:t>
      </w: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tbl>
      <w:tblPr>
        <w:tblStyle w:val="18"/>
        <w:tblW w:w="91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4"/>
        <w:gridCol w:w="4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  <w:t>Antonio Carlos Aleixo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iCs/>
                <w:color w:val="000000"/>
                <w:sz w:val="22"/>
                <w:szCs w:val="22"/>
                <w:lang w:eastAsia="pt-BR"/>
              </w:rPr>
              <w:t>Reitor da UNESPAR</w:t>
            </w:r>
          </w:p>
        </w:tc>
        <w:tc>
          <w:tcPr>
            <w:tcW w:w="4573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  <w:t>NOME CONCEDENTE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iCs/>
                <w:color w:val="000000"/>
                <w:sz w:val="22"/>
                <w:szCs w:val="22"/>
                <w:lang w:val="en-US" w:eastAsia="pt-BR"/>
              </w:rPr>
              <w:t>(Cargo)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457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  <w:t>Maria Simone Jacomini Novak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iCs/>
                <w:color w:val="000000"/>
                <w:sz w:val="22"/>
                <w:szCs w:val="22"/>
                <w:lang w:eastAsia="pt-BR"/>
              </w:rPr>
              <w:t>Pró-Reitoria de Ensino de Graduação</w:t>
            </w:r>
          </w:p>
        </w:tc>
        <w:tc>
          <w:tcPr>
            <w:tcW w:w="4573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573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4574" w:type="dxa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Testemunhas: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1. Pela UNESPAR: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Nome: ________________________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CPF:__________________________</w:t>
            </w:r>
          </w:p>
        </w:tc>
        <w:tc>
          <w:tcPr>
            <w:tcW w:w="4573" w:type="dxa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Pel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val="en-US" w:eastAsia="pt-BR"/>
              </w:rPr>
              <w:t>a CONCEDENTE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Nome: __________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val="en-US" w:eastAsia="pt-BR"/>
              </w:rPr>
              <w:t>_____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_________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CPF:________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val="en-US" w:eastAsia="pt-BR"/>
              </w:rPr>
              <w:t>_____________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_____</w:t>
            </w:r>
          </w:p>
        </w:tc>
      </w:tr>
    </w:tbl>
    <w:p>
      <w:pPr>
        <w:rPr>
          <w:rFonts w:hint="default" w:ascii="Arial" w:hAnsi="Arial" w:cs="Arial"/>
          <w:sz w:val="22"/>
          <w:szCs w:val="2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49" w:right="1274" w:bottom="949" w:left="1701" w:header="269" w:footer="48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shd w:val="clear" w:color="auto" w:fill="FFFFFF" w:themeFill="background1"/>
      <w:spacing w:after="0" w:line="240" w:lineRule="auto"/>
      <w:ind w:left="360"/>
      <w:jc w:val="right"/>
      <w:textAlignment w:val="baseline"/>
      <w:rPr>
        <w:rFonts w:eastAsia="Times New Roman" w:cs="Times New Roman"/>
        <w:color w:val="000000"/>
        <w:sz w:val="20"/>
        <w:szCs w:val="20"/>
        <w:lang w:eastAsia="pt-BR"/>
      </w:rPr>
    </w:pPr>
    <w:sdt>
      <w:sdtPr>
        <w:id w:val="-25569814"/>
      </w:sdtPr>
      <w:sdtEndPr>
        <w:rPr>
          <w:sz w:val="20"/>
          <w:szCs w:val="20"/>
        </w:rPr>
      </w:sdtEndPr>
      <w:sdtContent/>
    </w:sdt>
    <w:r>
      <w:rPr>
        <w:rFonts w:eastAsia="Times New Roman" w:cs="Times New Roman"/>
        <w:color w:val="000000"/>
        <w:sz w:val="20"/>
        <w:szCs w:val="20"/>
        <w:lang w:val="en-US" w:eastAsia="pt-BR"/>
      </w:rPr>
      <w:t>PESSOA FÍSICA</w:t>
    </w:r>
  </w:p>
  <w:p>
    <w:pPr>
      <w:pStyle w:val="1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ascii="Arial" w:hAnsi="Arial" w:cs="Arial"/>
        <w:lang w:eastAsia="pt-BR"/>
      </w:rPr>
      <w:drawing>
        <wp:inline distT="0" distB="0" distL="114300" distR="114300">
          <wp:extent cx="1029335" cy="1095375"/>
          <wp:effectExtent l="0" t="0" r="1841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335" cy="1095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6DC4E"/>
    <w:multiLevelType w:val="singleLevel"/>
    <w:tmpl w:val="B326DC4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4F"/>
    <w:rsid w:val="0001290D"/>
    <w:rsid w:val="00024609"/>
    <w:rsid w:val="000E2D9A"/>
    <w:rsid w:val="00234FD5"/>
    <w:rsid w:val="003448B5"/>
    <w:rsid w:val="005551C9"/>
    <w:rsid w:val="005650EF"/>
    <w:rsid w:val="00693317"/>
    <w:rsid w:val="00721819"/>
    <w:rsid w:val="009C15E4"/>
    <w:rsid w:val="00A4528D"/>
    <w:rsid w:val="00A97EC5"/>
    <w:rsid w:val="00AE7C4F"/>
    <w:rsid w:val="00C07A20"/>
    <w:rsid w:val="00CD7A22"/>
    <w:rsid w:val="00E834F7"/>
    <w:rsid w:val="027F5463"/>
    <w:rsid w:val="0B7D6067"/>
    <w:rsid w:val="1EF46F73"/>
    <w:rsid w:val="2BE65C96"/>
    <w:rsid w:val="304D07CB"/>
    <w:rsid w:val="59236A32"/>
    <w:rsid w:val="641F7E88"/>
    <w:rsid w:val="73B4003A"/>
    <w:rsid w:val="767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spacing w:after="0" w:line="240" w:lineRule="auto"/>
      <w:jc w:val="both"/>
      <w:outlineLvl w:val="0"/>
    </w:pPr>
    <w:rPr>
      <w:rFonts w:ascii="Calibri" w:hAnsi="Calibri" w:eastAsia="Calibri" w:cs="Times New Roman"/>
      <w:b/>
      <w:sz w:val="28"/>
      <w:szCs w:val="2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 w:after="0"/>
      <w:outlineLvl w:val="1"/>
    </w:pPr>
    <w:rPr>
      <w:rFonts w:ascii="Calibri" w:hAnsi="Calibri" w:eastAsiaTheme="majorEastAsia" w:cstheme="majorBidi"/>
      <w:b/>
      <w:bCs/>
      <w:sz w:val="24"/>
      <w:szCs w:val="26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6">
    <w:name w:val="annotation text"/>
    <w:basedOn w:val="1"/>
    <w:link w:val="3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Title"/>
    <w:basedOn w:val="1"/>
    <w:next w:val="1"/>
    <w:link w:val="27"/>
    <w:qFormat/>
    <w:uiPriority w:val="10"/>
    <w:pPr>
      <w:spacing w:after="0" w:line="240" w:lineRule="auto"/>
      <w:jc w:val="center"/>
    </w:pPr>
    <w:rPr>
      <w:rFonts w:ascii="Calibri" w:hAnsi="Calibri" w:eastAsia="Calibri" w:cs="Times New Roman"/>
      <w:b/>
      <w:sz w:val="24"/>
      <w:szCs w:val="24"/>
    </w:rPr>
  </w:style>
  <w:style w:type="paragraph" w:styleId="8">
    <w:name w:val="header"/>
    <w:basedOn w:val="1"/>
    <w:link w:val="2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Subtitle"/>
    <w:basedOn w:val="1"/>
    <w:next w:val="1"/>
    <w:link w:val="26"/>
    <w:qFormat/>
    <w:uiPriority w:val="11"/>
    <w:pPr>
      <w:spacing w:after="0" w:line="240" w:lineRule="auto"/>
      <w:jc w:val="center"/>
    </w:pPr>
    <w:rPr>
      <w:rFonts w:ascii="Calibri" w:hAnsi="Calibri" w:eastAsia="Calibri" w:cs="Times New Roman"/>
      <w:sz w:val="24"/>
      <w:szCs w:val="24"/>
    </w:rPr>
  </w:style>
  <w:style w:type="paragraph" w:styleId="13">
    <w:name w:val="toc 1"/>
    <w:basedOn w:val="1"/>
    <w:next w:val="1"/>
    <w:unhideWhenUsed/>
    <w:qFormat/>
    <w:uiPriority w:val="39"/>
    <w:pPr>
      <w:spacing w:after="100"/>
    </w:pPr>
  </w:style>
  <w:style w:type="character" w:styleId="15">
    <w:name w:val="annotation reference"/>
    <w:basedOn w:val="14"/>
    <w:semiHidden/>
    <w:unhideWhenUsed/>
    <w:qFormat/>
    <w:uiPriority w:val="99"/>
    <w:rPr>
      <w:sz w:val="16"/>
      <w:szCs w:val="16"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8">
    <w:name w:val="Table Grid"/>
    <w:basedOn w:val="1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Título 1 Char"/>
    <w:basedOn w:val="14"/>
    <w:link w:val="2"/>
    <w:qFormat/>
    <w:uiPriority w:val="9"/>
    <w:rPr>
      <w:rFonts w:ascii="Calibri" w:hAnsi="Calibri" w:eastAsia="Calibri" w:cs="Times New Roman"/>
      <w:b/>
      <w:sz w:val="28"/>
      <w:szCs w:val="24"/>
    </w:rPr>
  </w:style>
  <w:style w:type="character" w:customStyle="1" w:styleId="20">
    <w:name w:val="Título 2 Char"/>
    <w:basedOn w:val="14"/>
    <w:link w:val="3"/>
    <w:qFormat/>
    <w:uiPriority w:val="9"/>
    <w:rPr>
      <w:rFonts w:ascii="Calibri" w:hAnsi="Calibri" w:eastAsiaTheme="majorEastAsia" w:cstheme="majorBidi"/>
      <w:b/>
      <w:bCs/>
      <w:sz w:val="24"/>
      <w:szCs w:val="26"/>
    </w:rPr>
  </w:style>
  <w:style w:type="character" w:customStyle="1" w:styleId="21">
    <w:name w:val="Título 3 Char"/>
    <w:basedOn w:val="14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Cabeçalho Char"/>
    <w:basedOn w:val="14"/>
    <w:link w:val="8"/>
    <w:qFormat/>
    <w:uiPriority w:val="99"/>
  </w:style>
  <w:style w:type="character" w:customStyle="1" w:styleId="23">
    <w:name w:val="Rodapé Char"/>
    <w:basedOn w:val="14"/>
    <w:link w:val="10"/>
    <w:qFormat/>
    <w:uiPriority w:val="99"/>
  </w:style>
  <w:style w:type="character" w:customStyle="1" w:styleId="24">
    <w:name w:val="Texto de balão Char"/>
    <w:basedOn w:val="14"/>
    <w:link w:val="11"/>
    <w:semiHidden/>
    <w:qFormat/>
    <w:uiPriority w:val="99"/>
    <w:rPr>
      <w:rFonts w:ascii="Tahoma" w:hAnsi="Tahoma" w:cs="Tahoma"/>
      <w:sz w:val="16"/>
      <w:szCs w:val="16"/>
    </w:rPr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26">
    <w:name w:val="Subtítulo Char"/>
    <w:basedOn w:val="14"/>
    <w:link w:val="12"/>
    <w:qFormat/>
    <w:uiPriority w:val="11"/>
    <w:rPr>
      <w:rFonts w:ascii="Calibri" w:hAnsi="Calibri" w:eastAsia="Calibri" w:cs="Times New Roman"/>
      <w:sz w:val="24"/>
      <w:szCs w:val="24"/>
    </w:rPr>
  </w:style>
  <w:style w:type="character" w:customStyle="1" w:styleId="27">
    <w:name w:val="Título Char"/>
    <w:basedOn w:val="14"/>
    <w:link w:val="7"/>
    <w:qFormat/>
    <w:uiPriority w:val="10"/>
    <w:rPr>
      <w:rFonts w:ascii="Calibri" w:hAnsi="Calibri" w:eastAsia="Calibri" w:cs="Times New Roman"/>
      <w:b/>
      <w:sz w:val="24"/>
      <w:szCs w:val="24"/>
    </w:rPr>
  </w:style>
  <w:style w:type="paragraph" w:styleId="2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9">
    <w:name w:val="Cabeçalho do Sumário1"/>
    <w:basedOn w:val="2"/>
    <w:next w:val="1"/>
    <w:semiHidden/>
    <w:unhideWhenUsed/>
    <w:qFormat/>
    <w:uiPriority w:val="39"/>
    <w:pPr>
      <w:keepNext/>
      <w:keepLines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szCs w:val="28"/>
      <w:lang w:eastAsia="pt-BR"/>
    </w:rPr>
  </w:style>
  <w:style w:type="paragraph" w:customStyle="1" w:styleId="30">
    <w:name w:val="Standard"/>
    <w:qFormat/>
    <w:uiPriority w:val="0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zh-CN" w:bidi="hi-IN"/>
    </w:rPr>
  </w:style>
  <w:style w:type="character" w:customStyle="1" w:styleId="31">
    <w:name w:val="Texto de comentário Char"/>
    <w:basedOn w:val="14"/>
    <w:link w:val="6"/>
    <w:semiHidden/>
    <w:qFormat/>
    <w:uiPriority w:val="99"/>
    <w:rPr>
      <w:lang w:eastAsia="en-US"/>
    </w:rPr>
  </w:style>
  <w:style w:type="character" w:customStyle="1" w:styleId="32">
    <w:name w:val="Assunto do comentário Char"/>
    <w:basedOn w:val="31"/>
    <w:link w:val="9"/>
    <w:semiHidden/>
    <w:qFormat/>
    <w:uiPriority w:val="99"/>
    <w:rPr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1418</Words>
  <Characters>7659</Characters>
  <Lines>63</Lines>
  <Paragraphs>18</Paragraphs>
  <TotalTime>5</TotalTime>
  <ScaleCrop>false</ScaleCrop>
  <LinksUpToDate>false</LinksUpToDate>
  <CharactersWithSpaces>9059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2018-09-04T16:40:00Z</dcterms:created>
  <dc:creator>Camila Rozenberg da Silva Silvestrini</dc:creator>
  <cp:lastModifiedBy>giseleratiguieri</cp:lastModifiedBy>
  <cp:lastPrinted>2017-05-10T11:25:00Z</cp:lastPrinted>
  <dcterms:modified xsi:type="dcterms:W3CDTF">2019-06-28T13:48:53Z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